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151" w:rsidRPr="00E77151" w:rsidRDefault="00E77151" w:rsidP="00E77151">
      <w:pPr>
        <w:spacing w:line="480" w:lineRule="auto"/>
        <w:rPr>
          <w:rFonts w:ascii="Times New Roman" w:hAnsi="Times New Roman" w:cs="Times New Roman"/>
          <w:b/>
          <w:sz w:val="24"/>
          <w:shd w:val="clear" w:color="auto" w:fill="FFFFFF"/>
        </w:rPr>
      </w:pPr>
    </w:p>
    <w:p w:rsidR="00E77151" w:rsidRPr="00E77151" w:rsidRDefault="00E77151" w:rsidP="00E77151">
      <w:pPr>
        <w:spacing w:line="480" w:lineRule="auto"/>
        <w:rPr>
          <w:rFonts w:ascii="Times New Roman" w:hAnsi="Times New Roman" w:cs="Times New Roman"/>
          <w:b/>
          <w:sz w:val="24"/>
          <w:shd w:val="clear" w:color="auto" w:fill="FFFFFF"/>
        </w:rPr>
      </w:pPr>
    </w:p>
    <w:p w:rsidR="00E77151" w:rsidRPr="00E77151" w:rsidRDefault="00E77151" w:rsidP="00E77151">
      <w:pPr>
        <w:spacing w:line="480" w:lineRule="auto"/>
        <w:rPr>
          <w:rFonts w:ascii="Times New Roman" w:hAnsi="Times New Roman" w:cs="Times New Roman"/>
          <w:b/>
          <w:sz w:val="24"/>
          <w:shd w:val="clear" w:color="auto" w:fill="FFFFFF"/>
        </w:rPr>
      </w:pPr>
    </w:p>
    <w:p w:rsidR="00E77151" w:rsidRPr="00E77151" w:rsidRDefault="00E77151" w:rsidP="00E77151">
      <w:pPr>
        <w:spacing w:line="480" w:lineRule="auto"/>
        <w:rPr>
          <w:rFonts w:ascii="Times New Roman" w:hAnsi="Times New Roman" w:cs="Times New Roman"/>
          <w:b/>
          <w:sz w:val="24"/>
          <w:shd w:val="clear" w:color="auto" w:fill="FFFFFF"/>
        </w:rPr>
      </w:pPr>
    </w:p>
    <w:p w:rsidR="00E77151" w:rsidRPr="00E77151" w:rsidRDefault="00E77151" w:rsidP="00E77151">
      <w:pPr>
        <w:spacing w:line="480" w:lineRule="auto"/>
        <w:rPr>
          <w:rFonts w:ascii="Times New Roman" w:hAnsi="Times New Roman" w:cs="Times New Roman"/>
          <w:b/>
          <w:sz w:val="24"/>
          <w:shd w:val="clear" w:color="auto" w:fill="FFFFFF"/>
        </w:rPr>
      </w:pPr>
    </w:p>
    <w:p w:rsidR="00E77151" w:rsidRPr="00E77151" w:rsidRDefault="00E77151" w:rsidP="00E77151">
      <w:pPr>
        <w:spacing w:line="480" w:lineRule="auto"/>
        <w:rPr>
          <w:rFonts w:ascii="Times New Roman" w:hAnsi="Times New Roman" w:cs="Times New Roman"/>
          <w:b/>
          <w:sz w:val="24"/>
          <w:shd w:val="clear" w:color="auto" w:fill="FFFFFF"/>
        </w:rPr>
      </w:pPr>
    </w:p>
    <w:p w:rsidR="00E77151" w:rsidRPr="00E77151" w:rsidRDefault="00E77151" w:rsidP="00E77151">
      <w:pPr>
        <w:spacing w:line="480" w:lineRule="auto"/>
        <w:jc w:val="center"/>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Strategic Planning; Starbuck’s Mini Case</w:t>
      </w:r>
    </w:p>
    <w:p w:rsidR="00E77151" w:rsidRPr="00E77151" w:rsidRDefault="00E77151" w:rsidP="00E77151">
      <w:pPr>
        <w:spacing w:line="480" w:lineRule="auto"/>
        <w:jc w:val="center"/>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Name of Student</w:t>
      </w:r>
    </w:p>
    <w:p w:rsidR="00E77151" w:rsidRPr="00E77151" w:rsidRDefault="00E77151" w:rsidP="00E77151">
      <w:pPr>
        <w:spacing w:line="480" w:lineRule="auto"/>
        <w:jc w:val="center"/>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Name of Institution</w:t>
      </w:r>
    </w:p>
    <w:p w:rsidR="00E77151" w:rsidRPr="00E77151" w:rsidRDefault="00E77151" w:rsidP="00E77151">
      <w:pPr>
        <w:spacing w:line="480" w:lineRule="auto"/>
        <w:jc w:val="center"/>
        <w:rPr>
          <w:rFonts w:ascii="Times New Roman" w:hAnsi="Times New Roman" w:cs="Times New Roman"/>
          <w:b/>
          <w:sz w:val="24"/>
          <w:shd w:val="clear" w:color="auto" w:fill="FFFFFF"/>
        </w:rPr>
      </w:pPr>
      <w:r w:rsidRPr="00E77151">
        <w:rPr>
          <w:rFonts w:ascii="Times New Roman" w:hAnsi="Times New Roman" w:cs="Times New Roman"/>
          <w:sz w:val="24"/>
          <w:shd w:val="clear" w:color="auto" w:fill="FFFFFF"/>
        </w:rPr>
        <w:t>Date</w:t>
      </w:r>
      <w:r w:rsidRPr="00E77151">
        <w:rPr>
          <w:rFonts w:ascii="Times New Roman" w:hAnsi="Times New Roman" w:cs="Times New Roman"/>
          <w:b/>
          <w:sz w:val="24"/>
          <w:shd w:val="clear" w:color="auto" w:fill="FFFFFF"/>
        </w:rPr>
        <w:br w:type="page"/>
      </w:r>
    </w:p>
    <w:p w:rsidR="00E77151" w:rsidRPr="00E77151" w:rsidRDefault="00E77151" w:rsidP="00E77151">
      <w:pPr>
        <w:spacing w:line="480" w:lineRule="auto"/>
        <w:rPr>
          <w:rFonts w:ascii="Times New Roman" w:hAnsi="Times New Roman" w:cs="Times New Roman"/>
          <w:b/>
          <w:sz w:val="24"/>
          <w:shd w:val="clear" w:color="auto" w:fill="FFFFFF"/>
        </w:rPr>
      </w:pPr>
      <w:r w:rsidRPr="00E77151">
        <w:rPr>
          <w:rFonts w:ascii="Times New Roman" w:hAnsi="Times New Roman" w:cs="Times New Roman"/>
          <w:b/>
          <w:sz w:val="24"/>
          <w:shd w:val="clear" w:color="auto" w:fill="FFFFFF"/>
        </w:rPr>
        <w:lastRenderedPageBreak/>
        <w:t xml:space="preserve">For your comprehensive case firm, give an example SO strategy, showing how an internal strength can be matched with an external opportunity to formulate strategy AND give an example WT Strategy, showing how an internal weakness can be matched with an external threat to formulate a strategy. </w:t>
      </w:r>
    </w:p>
    <w:p w:rsidR="00E77151" w:rsidRPr="00E77151" w:rsidRDefault="00E77151" w:rsidP="00E77151">
      <w:pPr>
        <w:spacing w:line="480" w:lineRule="auto"/>
        <w:ind w:firstLine="720"/>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 xml:space="preserve">From a SWOT analysis of Mary &amp; Mack Clothing Store, the business enjoys a vast array of fashionable accessories integrating both local and international brands. The strength is appealing to a wide variety of consumers. The busy location provides the business with a limitless opportunity for the consumer base. A SO strategy that I would implement for Mary &amp; Mack Clothing Store is increasing the number of in-store promotions by to four each month. The approach is feasible since the vast array of accessories ensures the business can manage the orders and boost sales (Pangarso, 2014). The strategy also capitalizes on the vehicle traffic passing through the store. </w:t>
      </w:r>
    </w:p>
    <w:p w:rsidR="00E77151" w:rsidRPr="00E77151" w:rsidRDefault="00E77151" w:rsidP="00E77151">
      <w:pPr>
        <w:spacing w:line="480" w:lineRule="auto"/>
        <w:ind w:firstLine="720"/>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 xml:space="preserve">A feasible WT strategy for the business is the building of authority by the company. The tactic here involves trust, where the company will provide a platform for the community to share and spread ideas, and the creation of a connection with consumers (Balki, 2018). Mary &amp; Mack Clothing Store benefit from this strategy by the creation of a community around a brand, improving their client retention capability. The business also avoids threats in the form of competition about to open up nearby. </w:t>
      </w:r>
    </w:p>
    <w:p w:rsidR="00E77151" w:rsidRPr="00E77151" w:rsidRDefault="00E77151" w:rsidP="00E77151">
      <w:pPr>
        <w:spacing w:line="480" w:lineRule="auto"/>
        <w:rPr>
          <w:rFonts w:ascii="Times New Roman" w:hAnsi="Times New Roman" w:cs="Times New Roman"/>
          <w:b/>
          <w:sz w:val="24"/>
          <w:shd w:val="clear" w:color="auto" w:fill="FFFFFF"/>
        </w:rPr>
      </w:pPr>
      <w:r w:rsidRPr="00E77151">
        <w:rPr>
          <w:rFonts w:ascii="Times New Roman" w:hAnsi="Times New Roman" w:cs="Times New Roman"/>
          <w:b/>
          <w:sz w:val="24"/>
          <w:shd w:val="clear" w:color="auto" w:fill="FFFFFF"/>
        </w:rPr>
        <w:t xml:space="preserve">List three limitations of the SWOT Matrix and analysis. </w:t>
      </w:r>
    </w:p>
    <w:p w:rsidR="00E77151" w:rsidRPr="00E77151" w:rsidRDefault="00E77151" w:rsidP="00E77151">
      <w:pPr>
        <w:spacing w:line="480" w:lineRule="auto"/>
        <w:ind w:firstLine="720"/>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 xml:space="preserve">SWOT fails at providing clear and decisive information that would aid a business in achieving and maintaining a competitive advantage. Another limitation is that the matrix provides a platform for over-emphasizing a couple of internal and external factors, thus limiting </w:t>
      </w:r>
      <w:r w:rsidRPr="00E77151">
        <w:rPr>
          <w:rFonts w:ascii="Times New Roman" w:hAnsi="Times New Roman" w:cs="Times New Roman"/>
          <w:sz w:val="24"/>
          <w:shd w:val="clear" w:color="auto" w:fill="FFFFFF"/>
        </w:rPr>
        <w:lastRenderedPageBreak/>
        <w:t xml:space="preserve">the view of the bigger picture. A mix of innovation, flexibility in planning, and strategic planning are essential to succeed (Dibrell, Craig, &amp; Neubaum, 2014), which the matrix hinders. The information based on the model is also subjective and may lack relevance in context. </w:t>
      </w:r>
    </w:p>
    <w:p w:rsidR="00E77151" w:rsidRPr="00E77151" w:rsidRDefault="00E77151" w:rsidP="00E77151">
      <w:pPr>
        <w:spacing w:line="480" w:lineRule="auto"/>
        <w:rPr>
          <w:rFonts w:ascii="Times New Roman" w:hAnsi="Times New Roman" w:cs="Times New Roman"/>
          <w:b/>
          <w:sz w:val="24"/>
          <w:shd w:val="clear" w:color="auto" w:fill="FFFFFF"/>
        </w:rPr>
      </w:pPr>
      <w:r w:rsidRPr="00E77151">
        <w:rPr>
          <w:rFonts w:ascii="Times New Roman" w:hAnsi="Times New Roman" w:cs="Times New Roman"/>
          <w:b/>
          <w:sz w:val="24"/>
          <w:shd w:val="clear" w:color="auto" w:fill="FFFFFF"/>
        </w:rPr>
        <w:t xml:space="preserve">Explain the major features of the BCG Matrix. </w:t>
      </w:r>
    </w:p>
    <w:p w:rsidR="00E77151" w:rsidRPr="00E77151" w:rsidRDefault="00E77151" w:rsidP="00E77151">
      <w:pPr>
        <w:spacing w:line="480" w:lineRule="auto"/>
        <w:ind w:firstLine="720"/>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 xml:space="preserve">The BCG Matrix represents all factors of business in graphs that aids in planning for what to invest more, sell, and keep. The matrix contains four elements, each with characteristic traits. The four features are dogs, cash cows, stars, and question marks. Dogs represent assets to be sold or liquidated because of low market share, and a lower rate of growth. The products in low-growth zones for which the business owns a considerable leading market are the cash cows. Stars are the products that companies should invest in more with benefits of high growth rates, and constitute a large share of the market. Question marks present opportunities for which the company does not have a considerable market share. </w:t>
      </w:r>
    </w:p>
    <w:p w:rsidR="00E77151" w:rsidRPr="00E77151" w:rsidRDefault="00E77151" w:rsidP="00E77151">
      <w:pPr>
        <w:spacing w:line="480" w:lineRule="auto"/>
        <w:rPr>
          <w:rFonts w:ascii="Times New Roman" w:hAnsi="Times New Roman" w:cs="Times New Roman"/>
          <w:b/>
          <w:sz w:val="24"/>
          <w:shd w:val="clear" w:color="auto" w:fill="FFFFFF"/>
        </w:rPr>
      </w:pPr>
      <w:r w:rsidRPr="00E77151">
        <w:rPr>
          <w:rFonts w:ascii="Times New Roman" w:hAnsi="Times New Roman" w:cs="Times New Roman"/>
          <w:b/>
          <w:sz w:val="24"/>
          <w:shd w:val="clear" w:color="auto" w:fill="FFFFFF"/>
        </w:rPr>
        <w:t>Mini Case (Starbucks) Develop a SWOT Matrix for Starbucks that includes the three strategies and three factors cited in the case.</w:t>
      </w:r>
    </w:p>
    <w:p w:rsidR="00E77151" w:rsidRPr="00E77151" w:rsidRDefault="00E77151" w:rsidP="00E77151">
      <w:pPr>
        <w:spacing w:line="480" w:lineRule="auto"/>
        <w:ind w:firstLine="720"/>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 xml:space="preserve">Starbuck may opt for the addition of beer and wine into their menu, expansion of the menus for lunch and dinner, and also provision of an advanced mobile ordering platform. The provision of beer and wine and additional menu items are WT strategies. Both of them reduce the enterprise after morning hours, while also avoiding creeping threats from competitors who have also increased their menu items. The advanced mobile ordering provides a platform for the enterprise to cash in on their cash cow </w:t>
      </w:r>
      <w:r>
        <w:rPr>
          <w:rFonts w:ascii="Times New Roman" w:hAnsi="Times New Roman" w:cs="Times New Roman"/>
          <w:sz w:val="24"/>
          <w:shd w:val="clear" w:color="auto" w:fill="FFFFFF"/>
        </w:rPr>
        <w:t>b</w:t>
      </w:r>
      <w:r w:rsidRPr="00E77151">
        <w:rPr>
          <w:rFonts w:ascii="Times New Roman" w:hAnsi="Times New Roman" w:cs="Times New Roman"/>
          <w:sz w:val="24"/>
          <w:shd w:val="clear" w:color="auto" w:fill="FFFFFF"/>
        </w:rPr>
        <w:t xml:space="preserve">y reducing the cues throughout all locations. </w:t>
      </w:r>
    </w:p>
    <w:p w:rsidR="00E77151" w:rsidRPr="00E77151" w:rsidRDefault="00E77151" w:rsidP="00E77151">
      <w:pPr>
        <w:spacing w:line="480" w:lineRule="auto"/>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br w:type="page"/>
      </w:r>
    </w:p>
    <w:p w:rsidR="00E77151" w:rsidRPr="00E77151" w:rsidRDefault="00E77151" w:rsidP="00E77151">
      <w:pPr>
        <w:spacing w:line="480" w:lineRule="auto"/>
        <w:jc w:val="center"/>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lastRenderedPageBreak/>
        <w:t>References</w:t>
      </w:r>
    </w:p>
    <w:p w:rsidR="00E77151" w:rsidRPr="00E77151" w:rsidRDefault="00E77151" w:rsidP="00E77151">
      <w:pPr>
        <w:spacing w:line="480" w:lineRule="auto"/>
        <w:ind w:left="720" w:hanging="720"/>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Balki, S. (2018, July 17). How to create a community around your brand. Retrieved October 1, 2019, from Business.com: https://www.business.com/articles/building-brand-community/</w:t>
      </w:r>
    </w:p>
    <w:p w:rsidR="00E77151" w:rsidRPr="00E77151" w:rsidRDefault="00E77151" w:rsidP="00E77151">
      <w:pPr>
        <w:spacing w:line="480" w:lineRule="auto"/>
        <w:ind w:left="720" w:hanging="720"/>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Dibrell, C., Craig, J. B., &amp; Neubaum, D. O. (2014). Linking the formal strategic planning process, planning flexibility, and innovativeness to firm performance. Journal of Business Research, 67 (9).</w:t>
      </w:r>
    </w:p>
    <w:p w:rsidR="00E77151" w:rsidRPr="00E77151" w:rsidRDefault="00E77151" w:rsidP="00E77151">
      <w:pPr>
        <w:spacing w:line="480" w:lineRule="auto"/>
        <w:ind w:left="720" w:hanging="720"/>
        <w:rPr>
          <w:rFonts w:ascii="Times New Roman" w:hAnsi="Times New Roman" w:cs="Times New Roman"/>
          <w:sz w:val="24"/>
          <w:shd w:val="clear" w:color="auto" w:fill="FFFFFF"/>
        </w:rPr>
      </w:pPr>
      <w:r w:rsidRPr="00E77151">
        <w:rPr>
          <w:rFonts w:ascii="Times New Roman" w:hAnsi="Times New Roman" w:cs="Times New Roman"/>
          <w:sz w:val="24"/>
          <w:shd w:val="clear" w:color="auto" w:fill="FFFFFF"/>
        </w:rPr>
        <w:t>Pangarso, A. (2014). Organization's structure based on competing for value approach and merger strategy. 2nd International Conference on Technology, Informatics, Management, Engineering &amp; Environment (pp. 189-193). IEEE.</w:t>
      </w:r>
    </w:p>
    <w:p w:rsidR="006A333D" w:rsidRPr="00E77151" w:rsidRDefault="006A333D" w:rsidP="00E77151">
      <w:pPr>
        <w:spacing w:line="480" w:lineRule="auto"/>
        <w:rPr>
          <w:rFonts w:ascii="Times New Roman" w:hAnsi="Times New Roman" w:cs="Times New Roman"/>
          <w:sz w:val="24"/>
        </w:rPr>
      </w:pPr>
    </w:p>
    <w:sectPr w:rsidR="006A333D" w:rsidRPr="00E77151" w:rsidSect="00E771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5BD" w:rsidRDefault="006C45BD" w:rsidP="00E77151">
      <w:pPr>
        <w:spacing w:after="0" w:line="240" w:lineRule="auto"/>
      </w:pPr>
      <w:r>
        <w:separator/>
      </w:r>
    </w:p>
  </w:endnote>
  <w:endnote w:type="continuationSeparator" w:id="1">
    <w:p w:rsidR="006C45BD" w:rsidRDefault="006C45BD" w:rsidP="00E771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5BD" w:rsidRDefault="006C45BD" w:rsidP="00E77151">
      <w:pPr>
        <w:spacing w:after="0" w:line="240" w:lineRule="auto"/>
      </w:pPr>
      <w:r>
        <w:separator/>
      </w:r>
    </w:p>
  </w:footnote>
  <w:footnote w:type="continuationSeparator" w:id="1">
    <w:p w:rsidR="006C45BD" w:rsidRDefault="006C45BD" w:rsidP="00E771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51" w:rsidRPr="00E77151" w:rsidRDefault="00E77151">
    <w:pPr>
      <w:pStyle w:val="Header"/>
      <w:jc w:val="right"/>
      <w:rPr>
        <w:rFonts w:ascii="Times New Roman" w:hAnsi="Times New Roman" w:cs="Times New Roman"/>
        <w:sz w:val="24"/>
      </w:rPr>
    </w:pPr>
    <w:r w:rsidRPr="00E77151">
      <w:rPr>
        <w:rFonts w:ascii="Times New Roman" w:hAnsi="Times New Roman" w:cs="Times New Roman"/>
        <w:sz w:val="24"/>
      </w:rPr>
      <w:t xml:space="preserve">STRATEGIC PLANNING </w:t>
    </w:r>
    <w:r>
      <w:rPr>
        <w:rFonts w:ascii="Times New Roman" w:hAnsi="Times New Roman" w:cs="Times New Roman"/>
        <w:sz w:val="24"/>
      </w:rPr>
      <w:t xml:space="preserve">STARBUCK’S </w:t>
    </w:r>
    <w:r w:rsidRPr="00E77151">
      <w:rPr>
        <w:rFonts w:ascii="Times New Roman" w:hAnsi="Times New Roman" w:cs="Times New Roman"/>
        <w:sz w:val="24"/>
      </w:rPr>
      <w:t xml:space="preserve">MINI CASE </w:t>
    </w:r>
    <w:r w:rsidRPr="00E77151">
      <w:rPr>
        <w:rFonts w:ascii="Times New Roman" w:hAnsi="Times New Roman" w:cs="Times New Roman"/>
        <w:sz w:val="24"/>
      </w:rPr>
      <w:tab/>
    </w:r>
    <w:r w:rsidRPr="00E77151">
      <w:rPr>
        <w:rFonts w:ascii="Times New Roman" w:hAnsi="Times New Roman" w:cs="Times New Roman"/>
        <w:sz w:val="24"/>
      </w:rPr>
      <w:tab/>
    </w:r>
    <w:sdt>
      <w:sdtPr>
        <w:rPr>
          <w:rFonts w:ascii="Times New Roman" w:hAnsi="Times New Roman" w:cs="Times New Roman"/>
          <w:sz w:val="24"/>
        </w:rPr>
        <w:id w:val="231262369"/>
        <w:docPartObj>
          <w:docPartGallery w:val="Page Numbers (Top of Page)"/>
          <w:docPartUnique/>
        </w:docPartObj>
      </w:sdtPr>
      <w:sdtContent>
        <w:r w:rsidRPr="00E77151">
          <w:rPr>
            <w:rFonts w:ascii="Times New Roman" w:hAnsi="Times New Roman" w:cs="Times New Roman"/>
            <w:sz w:val="24"/>
          </w:rPr>
          <w:fldChar w:fldCharType="begin"/>
        </w:r>
        <w:r w:rsidRPr="00E77151">
          <w:rPr>
            <w:rFonts w:ascii="Times New Roman" w:hAnsi="Times New Roman" w:cs="Times New Roman"/>
            <w:sz w:val="24"/>
          </w:rPr>
          <w:instrText xml:space="preserve"> PAGE   \* MERGEFORMAT </w:instrText>
        </w:r>
        <w:r w:rsidRPr="00E77151">
          <w:rPr>
            <w:rFonts w:ascii="Times New Roman" w:hAnsi="Times New Roman" w:cs="Times New Roman"/>
            <w:sz w:val="24"/>
          </w:rPr>
          <w:fldChar w:fldCharType="separate"/>
        </w:r>
        <w:r>
          <w:rPr>
            <w:rFonts w:ascii="Times New Roman" w:hAnsi="Times New Roman" w:cs="Times New Roman"/>
            <w:noProof/>
            <w:sz w:val="24"/>
          </w:rPr>
          <w:t>4</w:t>
        </w:r>
        <w:r w:rsidRPr="00E77151">
          <w:rPr>
            <w:rFonts w:ascii="Times New Roman" w:hAnsi="Times New Roman" w:cs="Times New Roman"/>
            <w:sz w:val="24"/>
          </w:rPr>
          <w:fldChar w:fldCharType="end"/>
        </w:r>
      </w:sdtContent>
    </w:sdt>
  </w:p>
  <w:p w:rsidR="00E77151" w:rsidRPr="00E77151" w:rsidRDefault="00E7715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51" w:rsidRPr="00E77151" w:rsidRDefault="00E77151">
    <w:pPr>
      <w:pStyle w:val="Header"/>
      <w:jc w:val="right"/>
      <w:rPr>
        <w:rFonts w:ascii="Times New Roman" w:hAnsi="Times New Roman" w:cs="Times New Roman"/>
        <w:sz w:val="24"/>
      </w:rPr>
    </w:pPr>
    <w:r w:rsidRPr="00E77151">
      <w:rPr>
        <w:rFonts w:ascii="Times New Roman" w:hAnsi="Times New Roman" w:cs="Times New Roman"/>
        <w:sz w:val="24"/>
      </w:rPr>
      <w:t xml:space="preserve">Running Head: STRATEGIC PLANNING </w:t>
    </w:r>
    <w:r>
      <w:rPr>
        <w:rFonts w:ascii="Times New Roman" w:hAnsi="Times New Roman" w:cs="Times New Roman"/>
        <w:sz w:val="24"/>
      </w:rPr>
      <w:t xml:space="preserve">STARBUCK’S </w:t>
    </w:r>
    <w:r w:rsidRPr="00E77151">
      <w:rPr>
        <w:rFonts w:ascii="Times New Roman" w:hAnsi="Times New Roman" w:cs="Times New Roman"/>
        <w:sz w:val="24"/>
      </w:rPr>
      <w:t xml:space="preserve">MINI CASE </w:t>
    </w:r>
    <w:r w:rsidRPr="00E77151">
      <w:rPr>
        <w:rFonts w:ascii="Times New Roman" w:hAnsi="Times New Roman" w:cs="Times New Roman"/>
        <w:sz w:val="24"/>
      </w:rPr>
      <w:tab/>
    </w:r>
    <w:sdt>
      <w:sdtPr>
        <w:rPr>
          <w:rFonts w:ascii="Times New Roman" w:hAnsi="Times New Roman" w:cs="Times New Roman"/>
          <w:sz w:val="24"/>
        </w:rPr>
        <w:id w:val="231262400"/>
        <w:docPartObj>
          <w:docPartGallery w:val="Page Numbers (Top of Page)"/>
          <w:docPartUnique/>
        </w:docPartObj>
      </w:sdtPr>
      <w:sdtContent>
        <w:r w:rsidRPr="00E77151">
          <w:rPr>
            <w:rFonts w:ascii="Times New Roman" w:hAnsi="Times New Roman" w:cs="Times New Roman"/>
            <w:sz w:val="24"/>
          </w:rPr>
          <w:fldChar w:fldCharType="begin"/>
        </w:r>
        <w:r w:rsidRPr="00E77151">
          <w:rPr>
            <w:rFonts w:ascii="Times New Roman" w:hAnsi="Times New Roman" w:cs="Times New Roman"/>
            <w:sz w:val="24"/>
          </w:rPr>
          <w:instrText xml:space="preserve"> PAGE   \* MERGEFORMAT </w:instrText>
        </w:r>
        <w:r w:rsidRPr="00E77151">
          <w:rPr>
            <w:rFonts w:ascii="Times New Roman" w:hAnsi="Times New Roman" w:cs="Times New Roman"/>
            <w:sz w:val="24"/>
          </w:rPr>
          <w:fldChar w:fldCharType="separate"/>
        </w:r>
        <w:r>
          <w:rPr>
            <w:rFonts w:ascii="Times New Roman" w:hAnsi="Times New Roman" w:cs="Times New Roman"/>
            <w:noProof/>
            <w:sz w:val="24"/>
          </w:rPr>
          <w:t>1</w:t>
        </w:r>
        <w:r w:rsidRPr="00E77151">
          <w:rPr>
            <w:rFonts w:ascii="Times New Roman" w:hAnsi="Times New Roman" w:cs="Times New Roman"/>
            <w:sz w:val="24"/>
          </w:rPr>
          <w:fldChar w:fldCharType="end"/>
        </w:r>
      </w:sdtContent>
    </w:sdt>
  </w:p>
  <w:p w:rsidR="00E77151" w:rsidRPr="00E77151" w:rsidRDefault="00E77151">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1D22B1"/>
    <w:multiLevelType w:val="hybridMultilevel"/>
    <w:tmpl w:val="374CE23E"/>
    <w:lvl w:ilvl="0" w:tplc="9B2ED664">
      <w:start w:val="1"/>
      <w:numFmt w:val="decimal"/>
      <w:lvlText w:val="%1."/>
      <w:lvlJc w:val="left"/>
      <w:pPr>
        <w:ind w:left="360" w:hanging="360"/>
      </w:pPr>
      <w:rPr>
        <w:rFonts w:ascii="Arial" w:hAnsi="Arial" w:cs="Arial" w:hint="default"/>
        <w:color w:val="2222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A333D"/>
    <w:rsid w:val="003772BB"/>
    <w:rsid w:val="004E7310"/>
    <w:rsid w:val="006A333D"/>
    <w:rsid w:val="006C45BD"/>
    <w:rsid w:val="0077206B"/>
    <w:rsid w:val="00B43D56"/>
    <w:rsid w:val="00E32014"/>
    <w:rsid w:val="00E77151"/>
    <w:rsid w:val="00E92DA1"/>
    <w:rsid w:val="00F06D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206B"/>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33D"/>
    <w:pPr>
      <w:ind w:left="720"/>
      <w:contextualSpacing/>
    </w:pPr>
  </w:style>
  <w:style w:type="paragraph" w:styleId="BalloonText">
    <w:name w:val="Balloon Text"/>
    <w:basedOn w:val="Normal"/>
    <w:link w:val="BalloonTextChar"/>
    <w:uiPriority w:val="99"/>
    <w:semiHidden/>
    <w:unhideWhenUsed/>
    <w:rsid w:val="004E7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310"/>
    <w:rPr>
      <w:rFonts w:ascii="Tahoma" w:hAnsi="Tahoma" w:cs="Tahoma"/>
      <w:sz w:val="16"/>
      <w:szCs w:val="16"/>
    </w:rPr>
  </w:style>
  <w:style w:type="character" w:customStyle="1" w:styleId="Heading1Char">
    <w:name w:val="Heading 1 Char"/>
    <w:basedOn w:val="DefaultParagraphFont"/>
    <w:link w:val="Heading1"/>
    <w:uiPriority w:val="9"/>
    <w:rsid w:val="0077206B"/>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7206B"/>
  </w:style>
  <w:style w:type="paragraph" w:styleId="Header">
    <w:name w:val="header"/>
    <w:basedOn w:val="Normal"/>
    <w:link w:val="HeaderChar"/>
    <w:uiPriority w:val="99"/>
    <w:unhideWhenUsed/>
    <w:rsid w:val="00E77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151"/>
  </w:style>
  <w:style w:type="paragraph" w:styleId="Footer">
    <w:name w:val="footer"/>
    <w:basedOn w:val="Normal"/>
    <w:link w:val="FooterChar"/>
    <w:uiPriority w:val="99"/>
    <w:semiHidden/>
    <w:unhideWhenUsed/>
    <w:rsid w:val="00E771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715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Bal18</b:Tag>
    <b:SourceType>InternetSite</b:SourceType>
    <b:Guid>{9DD53BD7-345B-47DC-9ADA-864CA3D2AA67}</b:Guid>
    <b:LCID>0</b:LCID>
    <b:Author>
      <b:Author>
        <b:NameList>
          <b:Person>
            <b:Last>Balki</b:Last>
            <b:First>Syed</b:First>
          </b:Person>
        </b:NameList>
      </b:Author>
    </b:Author>
    <b:Title>How to create a community around your brand</b:Title>
    <b:Year>2018</b:Year>
    <b:InternetSiteTitle>Business.com</b:InternetSiteTitle>
    <b:Month>July</b:Month>
    <b:Day>17</b:Day>
    <b:YearAccessed>2019</b:YearAccessed>
    <b:MonthAccessed>October</b:MonthAccessed>
    <b:DayAccessed>1</b:DayAccessed>
    <b:URL>https://www.business.com/articles/building-brand-community/</b:URL>
    <b:RefOrder>2</b:RefOrder>
  </b:Source>
  <b:Source>
    <b:Tag>Pan14</b:Tag>
    <b:SourceType>ConferenceProceedings</b:SourceType>
    <b:Guid>{5439732E-F55B-4625-92AB-D3AE0EFA160A}</b:Guid>
    <b:LCID>0</b:LCID>
    <b:Author>
      <b:Author>
        <b:NameList>
          <b:Person>
            <b:Last>Pangarso</b:Last>
            <b:First>Astadi</b:First>
          </b:Person>
        </b:NameList>
      </b:Author>
    </b:Author>
    <b:Title>Organization's structure based on competing value approach and merger strategy</b:Title>
    <b:Year>2014</b:Year>
    <b:Pages>189-193</b:Pages>
    <b:ConferenceName>2nd International Conference on Technology, Informatics, Management, Engineering &amp; Environment</b:ConferenceName>
    <b:Publisher>IEEE</b:Publisher>
    <b:RefOrder>1</b:RefOrder>
  </b:Source>
  <b:Source>
    <b:Tag>Dib14</b:Tag>
    <b:SourceType>JournalArticle</b:SourceType>
    <b:Guid>{430E3904-3E57-49A0-91C3-F53DE9CFD4FB}</b:Guid>
    <b:LCID>0</b:LCID>
    <b:Author>
      <b:Author>
        <b:NameList>
          <b:Person>
            <b:Last>Dibrell</b:Last>
            <b:First>Clay</b:First>
          </b:Person>
          <b:Person>
            <b:Last>Craig</b:Last>
            <b:First>Justin</b:First>
            <b:Middle>B.</b:Middle>
          </b:Person>
          <b:Person>
            <b:Last>Neubaum</b:Last>
            <b:First>Donald</b:First>
            <b:Middle>O.</b:Middle>
          </b:Person>
        </b:NameList>
      </b:Author>
    </b:Author>
    <b:Title>Linking the formal strategic planning process, planning flexibility, and innovativeness to firm performance.</b:Title>
    <b:Year>2014</b:Year>
    <b:JournalName>Journal of Business Research</b:JournalName>
    <b:Volume>67</b:Volume>
    <b:Issue>9</b:Issue>
    <b:RefOrder>3</b:RefOrder>
  </b:Source>
</b:Sources>
</file>

<file path=customXml/itemProps1.xml><?xml version="1.0" encoding="utf-8"?>
<ds:datastoreItem xmlns:ds="http://schemas.openxmlformats.org/officeDocument/2006/customXml" ds:itemID="{27206E16-D260-4E07-BA17-2607C69A2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4</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2019-10-01T10:09:00Z</dcterms:created>
  <dcterms:modified xsi:type="dcterms:W3CDTF">2019-10-01T12:21:00Z</dcterms:modified>
</cp:coreProperties>
</file>